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FE4" w:rsidRDefault="00E16FE4" w:rsidP="00E16FE4">
      <w:pPr>
        <w:jc w:val="center"/>
      </w:pPr>
      <w:r>
        <w:t>Laarman Lesson Plan</w:t>
      </w:r>
    </w:p>
    <w:p w:rsidR="00E16FE4" w:rsidRDefault="00E16FE4" w:rsidP="00E16FE4"/>
    <w:p w:rsidR="00E16FE4" w:rsidRDefault="00E16FE4" w:rsidP="00E16FE4">
      <w:r>
        <w:t>Class:</w:t>
      </w:r>
      <w:r>
        <w:tab/>
        <w:t xml:space="preserve">US History     Unit: The U.S. and the World   </w:t>
      </w:r>
      <w:r>
        <w:tab/>
        <w:t>Standards: B.12.1, B.12.2, B.12.9, B.12.15</w:t>
      </w:r>
    </w:p>
    <w:p w:rsidR="00E16FE4" w:rsidRDefault="00E16FE4" w:rsidP="00E16FE4"/>
    <w:p w:rsidR="00B2671F" w:rsidRDefault="00B2671F" w:rsidP="00B2671F">
      <w:r>
        <w:t xml:space="preserve">Topic: </w:t>
      </w:r>
      <w:r>
        <w:tab/>
        <w:t>The U.S. Entry into World War I</w:t>
      </w:r>
      <w:r>
        <w:tab/>
        <w:t>Date:  3/</w:t>
      </w:r>
      <w:r>
        <w:t>27/17</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B2671F" w:rsidTr="002811B3">
        <w:tc>
          <w:tcPr>
            <w:tcW w:w="2448" w:type="dxa"/>
            <w:shd w:val="clear" w:color="auto" w:fill="auto"/>
          </w:tcPr>
          <w:p w:rsidR="00B2671F" w:rsidRPr="007805C3" w:rsidRDefault="00B2671F" w:rsidP="002811B3">
            <w:pPr>
              <w:rPr>
                <w:b/>
              </w:rPr>
            </w:pPr>
            <w:r w:rsidRPr="007805C3">
              <w:rPr>
                <w:b/>
              </w:rPr>
              <w:t>Materials</w:t>
            </w:r>
            <w:r>
              <w:rPr>
                <w:b/>
              </w:rPr>
              <w:t>, Prep</w:t>
            </w:r>
          </w:p>
        </w:tc>
        <w:tc>
          <w:tcPr>
            <w:tcW w:w="8100" w:type="dxa"/>
            <w:shd w:val="clear" w:color="auto" w:fill="auto"/>
          </w:tcPr>
          <w:p w:rsidR="00B2671F" w:rsidRDefault="00B2671F" w:rsidP="002811B3">
            <w:r>
              <w:t>Speech handouts and worksheet</w:t>
            </w:r>
          </w:p>
        </w:tc>
      </w:tr>
      <w:tr w:rsidR="00B2671F" w:rsidTr="002811B3">
        <w:tc>
          <w:tcPr>
            <w:tcW w:w="2448" w:type="dxa"/>
            <w:shd w:val="clear" w:color="auto" w:fill="auto"/>
          </w:tcPr>
          <w:p w:rsidR="00B2671F" w:rsidRDefault="00B2671F" w:rsidP="002811B3">
            <w:pPr>
              <w:rPr>
                <w:b/>
              </w:rPr>
            </w:pPr>
            <w:r>
              <w:rPr>
                <w:b/>
              </w:rPr>
              <w:t xml:space="preserve">Procedure </w:t>
            </w:r>
          </w:p>
        </w:tc>
        <w:tc>
          <w:tcPr>
            <w:tcW w:w="8100" w:type="dxa"/>
            <w:shd w:val="clear" w:color="auto" w:fill="auto"/>
          </w:tcPr>
          <w:p w:rsidR="00B2671F" w:rsidRDefault="00B2671F" w:rsidP="002811B3">
            <w:r>
              <w:t xml:space="preserve">Follow the lesson plan at </w:t>
            </w:r>
            <w:hyperlink r:id="rId5" w:history="1">
              <w:r w:rsidRPr="00AA580A">
                <w:rPr>
                  <w:rStyle w:val="Hyperlink"/>
                </w:rPr>
                <w:t>https://sheg.stanford.edu/us-entry-wwi</w:t>
              </w:r>
            </w:hyperlink>
            <w:r>
              <w:t xml:space="preserve"> </w:t>
            </w:r>
          </w:p>
        </w:tc>
      </w:tr>
      <w:tr w:rsidR="00B2671F" w:rsidTr="002811B3">
        <w:tc>
          <w:tcPr>
            <w:tcW w:w="2448" w:type="dxa"/>
            <w:shd w:val="clear" w:color="auto" w:fill="auto"/>
          </w:tcPr>
          <w:p w:rsidR="00B2671F" w:rsidRDefault="00B2671F" w:rsidP="002811B3">
            <w:pPr>
              <w:rPr>
                <w:b/>
              </w:rPr>
            </w:pPr>
            <w:r>
              <w:rPr>
                <w:b/>
              </w:rPr>
              <w:t>Homework</w:t>
            </w:r>
          </w:p>
        </w:tc>
        <w:tc>
          <w:tcPr>
            <w:tcW w:w="8100" w:type="dxa"/>
            <w:shd w:val="clear" w:color="auto" w:fill="auto"/>
          </w:tcPr>
          <w:p w:rsidR="00B2671F" w:rsidRDefault="00B2671F" w:rsidP="002811B3">
            <w:r>
              <w:t>Complete the worksheets if you did not do so in class</w:t>
            </w:r>
          </w:p>
        </w:tc>
      </w:tr>
    </w:tbl>
    <w:p w:rsidR="00B2671F" w:rsidRDefault="00B2671F" w:rsidP="00E16FE4"/>
    <w:p w:rsidR="00B2671F" w:rsidRDefault="00B2671F" w:rsidP="00BC6E9D"/>
    <w:p w:rsidR="00BC6E9D" w:rsidRDefault="00BC6E9D" w:rsidP="00BC6E9D">
      <w:r>
        <w:t xml:space="preserve">Topic: </w:t>
      </w:r>
      <w:r>
        <w:tab/>
        <w:t>WWI and th</w:t>
      </w:r>
      <w:r w:rsidR="00473740">
        <w:t xml:space="preserve">e Fourteen Points </w:t>
      </w:r>
      <w:r w:rsidR="00473740">
        <w:tab/>
        <w:t xml:space="preserve">Date:  </w:t>
      </w:r>
      <w:r w:rsidR="00B2671F">
        <w:t>3/28/17</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BC6E9D" w:rsidTr="00BC6E9D">
        <w:tc>
          <w:tcPr>
            <w:tcW w:w="2448" w:type="dxa"/>
            <w:tcBorders>
              <w:top w:val="single" w:sz="4" w:space="0" w:color="auto"/>
              <w:left w:val="single" w:sz="4" w:space="0" w:color="auto"/>
              <w:bottom w:val="single" w:sz="4" w:space="0" w:color="auto"/>
              <w:right w:val="single" w:sz="4" w:space="0" w:color="auto"/>
            </w:tcBorders>
            <w:hideMark/>
          </w:tcPr>
          <w:p w:rsidR="00BC6E9D" w:rsidRDefault="00BC6E9D">
            <w:pPr>
              <w:spacing w:line="276" w:lineRule="auto"/>
              <w:rPr>
                <w:b/>
              </w:rPr>
            </w:pPr>
            <w:r>
              <w:rPr>
                <w:b/>
              </w:rPr>
              <w:t>Materials, Prep</w:t>
            </w:r>
          </w:p>
        </w:tc>
        <w:tc>
          <w:tcPr>
            <w:tcW w:w="8100" w:type="dxa"/>
            <w:tcBorders>
              <w:top w:val="single" w:sz="4" w:space="0" w:color="auto"/>
              <w:left w:val="single" w:sz="4" w:space="0" w:color="auto"/>
              <w:bottom w:val="single" w:sz="4" w:space="0" w:color="auto"/>
              <w:right w:val="single" w:sz="4" w:space="0" w:color="auto"/>
            </w:tcBorders>
            <w:hideMark/>
          </w:tcPr>
          <w:p w:rsidR="00BC6E9D" w:rsidRDefault="00BC6E9D">
            <w:pPr>
              <w:spacing w:line="276" w:lineRule="auto"/>
            </w:pPr>
            <w:r>
              <w:t>U.S. and the World PowerPoint, laptop cart</w:t>
            </w:r>
          </w:p>
        </w:tc>
      </w:tr>
      <w:tr w:rsidR="00BC6E9D" w:rsidTr="00BC6E9D">
        <w:tc>
          <w:tcPr>
            <w:tcW w:w="2448" w:type="dxa"/>
            <w:tcBorders>
              <w:top w:val="single" w:sz="4" w:space="0" w:color="auto"/>
              <w:left w:val="single" w:sz="4" w:space="0" w:color="auto"/>
              <w:bottom w:val="single" w:sz="4" w:space="0" w:color="auto"/>
              <w:right w:val="single" w:sz="4" w:space="0" w:color="auto"/>
            </w:tcBorders>
            <w:hideMark/>
          </w:tcPr>
          <w:p w:rsidR="00BC6E9D" w:rsidRDefault="00BC6E9D">
            <w:pPr>
              <w:spacing w:line="276" w:lineRule="auto"/>
              <w:rPr>
                <w:b/>
              </w:rPr>
            </w:pPr>
            <w:r>
              <w:rPr>
                <w:b/>
              </w:rPr>
              <w:t xml:space="preserve">Procedure </w:t>
            </w:r>
          </w:p>
        </w:tc>
        <w:tc>
          <w:tcPr>
            <w:tcW w:w="8100" w:type="dxa"/>
            <w:tcBorders>
              <w:top w:val="single" w:sz="4" w:space="0" w:color="auto"/>
              <w:left w:val="single" w:sz="4" w:space="0" w:color="auto"/>
              <w:bottom w:val="single" w:sz="4" w:space="0" w:color="auto"/>
              <w:right w:val="single" w:sz="4" w:space="0" w:color="auto"/>
            </w:tcBorders>
            <w:hideMark/>
          </w:tcPr>
          <w:p w:rsidR="00BC6E9D" w:rsidRDefault="00BC6E9D" w:rsidP="00BC6E9D">
            <w:pPr>
              <w:pStyle w:val="ListParagraph"/>
              <w:numPr>
                <w:ilvl w:val="0"/>
                <w:numId w:val="7"/>
              </w:numPr>
              <w:spacing w:line="276" w:lineRule="auto"/>
            </w:pPr>
            <w:r>
              <w:t>U.S. and the World multimedia for student notes: China and Latin America</w:t>
            </w:r>
          </w:p>
          <w:p w:rsidR="00BC6E9D" w:rsidRDefault="00BC6E9D" w:rsidP="00BC6E9D">
            <w:pPr>
              <w:pStyle w:val="ListParagraph"/>
              <w:numPr>
                <w:ilvl w:val="0"/>
                <w:numId w:val="7"/>
              </w:numPr>
              <w:spacing w:line="276" w:lineRule="auto"/>
            </w:pPr>
            <w:proofErr w:type="spellStart"/>
            <w:r>
              <w:t>Kahoot</w:t>
            </w:r>
            <w:proofErr w:type="spellEnd"/>
            <w:r>
              <w:t xml:space="preserve"> quiz and discussion on WWI</w:t>
            </w:r>
          </w:p>
          <w:p w:rsidR="00BC6E9D" w:rsidRDefault="00BC6E9D" w:rsidP="00BC6E9D">
            <w:pPr>
              <w:pStyle w:val="ListParagraph"/>
              <w:numPr>
                <w:ilvl w:val="0"/>
                <w:numId w:val="7"/>
              </w:numPr>
              <w:spacing w:line="276" w:lineRule="auto"/>
            </w:pPr>
            <w:r>
              <w:t>Students complete infographic on p. 571</w:t>
            </w:r>
          </w:p>
          <w:p w:rsidR="00BC6E9D" w:rsidRDefault="00BC6E9D" w:rsidP="00BC6E9D">
            <w:pPr>
              <w:pStyle w:val="ListParagraph"/>
              <w:numPr>
                <w:ilvl w:val="0"/>
                <w:numId w:val="7"/>
              </w:numPr>
              <w:spacing w:line="276" w:lineRule="auto"/>
            </w:pPr>
            <w:r>
              <w:t>Discuss Wilson’s vision for the world and its failure</w:t>
            </w:r>
          </w:p>
        </w:tc>
      </w:tr>
    </w:tbl>
    <w:p w:rsidR="00BC6E9D" w:rsidRDefault="00BC6E9D" w:rsidP="00E16FE4"/>
    <w:p w:rsidR="00BC6E9D" w:rsidRDefault="00BC6E9D" w:rsidP="00E16FE4"/>
    <w:p w:rsidR="00E16FE4" w:rsidRDefault="00B2671F" w:rsidP="00E16FE4">
      <w:r>
        <w:t xml:space="preserve">Topic: </w:t>
      </w:r>
      <w:r>
        <w:tab/>
      </w:r>
      <w:proofErr w:type="gramStart"/>
      <w:r>
        <w:t xml:space="preserve">WWII  </w:t>
      </w:r>
      <w:r>
        <w:tab/>
      </w:r>
      <w:proofErr w:type="gramEnd"/>
      <w:r>
        <w:t>Date:  3/29/17</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E16FE4" w:rsidTr="002C7F1D">
        <w:tc>
          <w:tcPr>
            <w:tcW w:w="2448" w:type="dxa"/>
            <w:shd w:val="clear" w:color="auto" w:fill="auto"/>
          </w:tcPr>
          <w:p w:rsidR="00E16FE4" w:rsidRPr="007805C3" w:rsidRDefault="00E16FE4" w:rsidP="002C7F1D">
            <w:pPr>
              <w:rPr>
                <w:b/>
              </w:rPr>
            </w:pPr>
            <w:r w:rsidRPr="007805C3">
              <w:rPr>
                <w:b/>
              </w:rPr>
              <w:t>Materials</w:t>
            </w:r>
            <w:r>
              <w:rPr>
                <w:b/>
              </w:rPr>
              <w:t>, Prep</w:t>
            </w:r>
          </w:p>
        </w:tc>
        <w:tc>
          <w:tcPr>
            <w:tcW w:w="8100" w:type="dxa"/>
            <w:shd w:val="clear" w:color="auto" w:fill="auto"/>
          </w:tcPr>
          <w:p w:rsidR="00E16FE4" w:rsidRDefault="00BC6E9D" w:rsidP="002C7F1D">
            <w:r>
              <w:t>WWII PowerPoint</w:t>
            </w:r>
          </w:p>
        </w:tc>
      </w:tr>
      <w:tr w:rsidR="00E16FE4" w:rsidTr="002C7F1D">
        <w:tc>
          <w:tcPr>
            <w:tcW w:w="2448" w:type="dxa"/>
            <w:shd w:val="clear" w:color="auto" w:fill="auto"/>
          </w:tcPr>
          <w:p w:rsidR="00E16FE4" w:rsidRDefault="00E16FE4" w:rsidP="002C7F1D">
            <w:pPr>
              <w:rPr>
                <w:b/>
              </w:rPr>
            </w:pPr>
            <w:r>
              <w:rPr>
                <w:b/>
              </w:rPr>
              <w:t>Procedure</w:t>
            </w:r>
          </w:p>
        </w:tc>
        <w:tc>
          <w:tcPr>
            <w:tcW w:w="8100" w:type="dxa"/>
            <w:shd w:val="clear" w:color="auto" w:fill="auto"/>
          </w:tcPr>
          <w:p w:rsidR="00E16FE4" w:rsidRDefault="00E16FE4" w:rsidP="00E16FE4">
            <w:pPr>
              <w:pStyle w:val="ListParagraph"/>
              <w:numPr>
                <w:ilvl w:val="0"/>
                <w:numId w:val="2"/>
              </w:numPr>
            </w:pPr>
            <w:r>
              <w:t xml:space="preserve">WWII intro:  students answer questions testing their knowledge of WWII </w:t>
            </w:r>
          </w:p>
          <w:p w:rsidR="00E16FE4" w:rsidRDefault="00E16FE4" w:rsidP="00E16FE4">
            <w:pPr>
              <w:pStyle w:val="ListParagraph"/>
              <w:numPr>
                <w:ilvl w:val="0"/>
                <w:numId w:val="2"/>
              </w:numPr>
            </w:pPr>
            <w:r>
              <w:t>WWII multimedia for student notes:  world events leading to war</w:t>
            </w:r>
          </w:p>
          <w:p w:rsidR="00BC6E9D" w:rsidRDefault="00B2671F" w:rsidP="00BC6E9D">
            <w:pPr>
              <w:pStyle w:val="ListParagraph"/>
              <w:numPr>
                <w:ilvl w:val="1"/>
                <w:numId w:val="2"/>
              </w:numPr>
            </w:pPr>
            <w:r>
              <w:t>Slides 2</w:t>
            </w:r>
            <w:bookmarkStart w:id="0" w:name="_GoBack"/>
            <w:bookmarkEnd w:id="0"/>
            <w:r w:rsidR="00BC6E9D">
              <w:t>-6</w:t>
            </w:r>
          </w:p>
          <w:p w:rsidR="00BC6E9D" w:rsidRDefault="00BC6E9D" w:rsidP="00BC6E9D">
            <w:pPr>
              <w:pStyle w:val="ListParagraph"/>
              <w:numPr>
                <w:ilvl w:val="0"/>
                <w:numId w:val="2"/>
              </w:numPr>
            </w:pPr>
            <w:r>
              <w:t>Multimedia for student notes: the response to Axis aggression</w:t>
            </w:r>
          </w:p>
          <w:p w:rsidR="00BC6E9D" w:rsidRDefault="00B2671F" w:rsidP="00BC6E9D">
            <w:pPr>
              <w:pStyle w:val="ListParagraph"/>
              <w:numPr>
                <w:ilvl w:val="1"/>
                <w:numId w:val="2"/>
              </w:numPr>
            </w:pPr>
            <w:r>
              <w:t>Slides 7-11</w:t>
            </w:r>
            <w:r w:rsidR="00BC6E9D">
              <w:t>, 22-24</w:t>
            </w:r>
          </w:p>
        </w:tc>
      </w:tr>
      <w:tr w:rsidR="00E16FE4" w:rsidTr="002C7F1D">
        <w:tc>
          <w:tcPr>
            <w:tcW w:w="2448" w:type="dxa"/>
            <w:shd w:val="clear" w:color="auto" w:fill="auto"/>
          </w:tcPr>
          <w:p w:rsidR="00E16FE4" w:rsidRDefault="00E16FE4" w:rsidP="002C7F1D">
            <w:pPr>
              <w:rPr>
                <w:b/>
              </w:rPr>
            </w:pPr>
            <w:r>
              <w:rPr>
                <w:b/>
              </w:rPr>
              <w:t>Closure</w:t>
            </w:r>
          </w:p>
        </w:tc>
        <w:tc>
          <w:tcPr>
            <w:tcW w:w="8100" w:type="dxa"/>
            <w:shd w:val="clear" w:color="auto" w:fill="auto"/>
          </w:tcPr>
          <w:p w:rsidR="00E16FE4" w:rsidRDefault="00E16FE4" w:rsidP="002C7F1D">
            <w:r>
              <w:t>How do you think what you learned about today will eventually lead to a world war?</w:t>
            </w:r>
          </w:p>
        </w:tc>
      </w:tr>
    </w:tbl>
    <w:p w:rsidR="00E16FE4" w:rsidRDefault="00E16FE4" w:rsidP="00E16FE4"/>
    <w:p w:rsidR="00BC6E9D" w:rsidRDefault="00BC6E9D" w:rsidP="00E16FE4"/>
    <w:p w:rsidR="00E16FE4" w:rsidRDefault="00E16FE4" w:rsidP="00E16FE4">
      <w:r>
        <w:t xml:space="preserve">Topic: </w:t>
      </w:r>
      <w:r>
        <w:tab/>
      </w:r>
      <w:r w:rsidR="00BC6E9D">
        <w:t>Holocaust</w:t>
      </w:r>
      <w:r w:rsidR="00473740">
        <w:tab/>
        <w:t xml:space="preserve">Date:  </w:t>
      </w:r>
      <w:r w:rsidR="00B2671F">
        <w:t>3/30/17</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E16FE4" w:rsidTr="002C7F1D">
        <w:tc>
          <w:tcPr>
            <w:tcW w:w="2448" w:type="dxa"/>
            <w:shd w:val="clear" w:color="auto" w:fill="auto"/>
          </w:tcPr>
          <w:p w:rsidR="00E16FE4" w:rsidRPr="007805C3" w:rsidRDefault="00E16FE4" w:rsidP="002C7F1D">
            <w:pPr>
              <w:rPr>
                <w:b/>
              </w:rPr>
            </w:pPr>
            <w:r w:rsidRPr="007805C3">
              <w:rPr>
                <w:b/>
              </w:rPr>
              <w:t>Materials</w:t>
            </w:r>
            <w:r>
              <w:rPr>
                <w:b/>
              </w:rPr>
              <w:t>, Prep</w:t>
            </w:r>
          </w:p>
        </w:tc>
        <w:tc>
          <w:tcPr>
            <w:tcW w:w="8100" w:type="dxa"/>
            <w:shd w:val="clear" w:color="auto" w:fill="auto"/>
          </w:tcPr>
          <w:p w:rsidR="00E16FE4" w:rsidRDefault="00BC6E9D" w:rsidP="002C7F1D">
            <w:r>
              <w:t>WWII PowerPoint, Holocaust PowerPoint (in World History folder)</w:t>
            </w:r>
          </w:p>
        </w:tc>
      </w:tr>
      <w:tr w:rsidR="00E16FE4" w:rsidTr="002C7F1D">
        <w:tc>
          <w:tcPr>
            <w:tcW w:w="2448" w:type="dxa"/>
            <w:shd w:val="clear" w:color="auto" w:fill="auto"/>
          </w:tcPr>
          <w:p w:rsidR="00E16FE4" w:rsidRPr="007805C3" w:rsidRDefault="00E16FE4" w:rsidP="002C7F1D">
            <w:pPr>
              <w:rPr>
                <w:b/>
              </w:rPr>
            </w:pPr>
            <w:r w:rsidRPr="007805C3">
              <w:rPr>
                <w:b/>
              </w:rPr>
              <w:t>Anticipatory Set</w:t>
            </w:r>
          </w:p>
          <w:p w:rsidR="00E16FE4" w:rsidRPr="007805C3" w:rsidRDefault="00E16FE4" w:rsidP="002C7F1D">
            <w:pPr>
              <w:rPr>
                <w:b/>
              </w:rPr>
            </w:pPr>
            <w:r w:rsidRPr="007805C3">
              <w:rPr>
                <w:b/>
              </w:rPr>
              <w:t>-connection, motivation, relevance</w:t>
            </w:r>
          </w:p>
        </w:tc>
        <w:tc>
          <w:tcPr>
            <w:tcW w:w="8100" w:type="dxa"/>
            <w:shd w:val="clear" w:color="auto" w:fill="auto"/>
          </w:tcPr>
          <w:p w:rsidR="00BC6E9D" w:rsidRDefault="00BC6E9D" w:rsidP="00BC6E9D">
            <w:pPr>
              <w:pStyle w:val="ListParagraph"/>
              <w:numPr>
                <w:ilvl w:val="0"/>
                <w:numId w:val="10"/>
              </w:numPr>
            </w:pPr>
            <w:r>
              <w:t>Small-group discussion: What was the U.S. foreign policy during the 1930’s?</w:t>
            </w:r>
          </w:p>
          <w:p w:rsidR="00BC6E9D" w:rsidRDefault="00BC6E9D" w:rsidP="00BC6E9D">
            <w:pPr>
              <w:pStyle w:val="ListParagraph"/>
              <w:numPr>
                <w:ilvl w:val="0"/>
                <w:numId w:val="10"/>
              </w:numPr>
            </w:pPr>
            <w:proofErr w:type="spellStart"/>
            <w:r>
              <w:t>Consensogram</w:t>
            </w:r>
            <w:proofErr w:type="spellEnd"/>
            <w:r>
              <w:t xml:space="preserve"> (students mark their responses on the Smartboard): Could another Holocaust happen?</w:t>
            </w:r>
          </w:p>
        </w:tc>
      </w:tr>
      <w:tr w:rsidR="00E16FE4" w:rsidTr="002C7F1D">
        <w:tc>
          <w:tcPr>
            <w:tcW w:w="2448" w:type="dxa"/>
            <w:shd w:val="clear" w:color="auto" w:fill="auto"/>
          </w:tcPr>
          <w:p w:rsidR="00E16FE4" w:rsidRDefault="00E16FE4" w:rsidP="002C7F1D">
            <w:pPr>
              <w:rPr>
                <w:b/>
              </w:rPr>
            </w:pPr>
            <w:r>
              <w:rPr>
                <w:b/>
              </w:rPr>
              <w:t>Procedure</w:t>
            </w:r>
          </w:p>
        </w:tc>
        <w:tc>
          <w:tcPr>
            <w:tcW w:w="8100" w:type="dxa"/>
            <w:shd w:val="clear" w:color="auto" w:fill="auto"/>
          </w:tcPr>
          <w:p w:rsidR="00E16FE4" w:rsidRDefault="00BC6E9D" w:rsidP="002C7F1D">
            <w:r>
              <w:t>Discussion questions for small groups (draw names to respond to large group after small-group discussion; use PowerPoint or video clips to enhance the discussion points):</w:t>
            </w:r>
          </w:p>
          <w:p w:rsidR="00BC6E9D" w:rsidRDefault="00BC6E9D" w:rsidP="00BC6E9D">
            <w:pPr>
              <w:pStyle w:val="ListParagraph"/>
              <w:numPr>
                <w:ilvl w:val="0"/>
                <w:numId w:val="11"/>
              </w:numPr>
            </w:pPr>
            <w:r>
              <w:t>What was the Nazi belief system?</w:t>
            </w:r>
          </w:p>
          <w:p w:rsidR="00BC6E9D" w:rsidRDefault="00BC6E9D" w:rsidP="00BC6E9D">
            <w:pPr>
              <w:pStyle w:val="ListParagraph"/>
              <w:numPr>
                <w:ilvl w:val="0"/>
                <w:numId w:val="11"/>
              </w:numPr>
            </w:pPr>
            <w:r>
              <w:t>How did the Nazis spread their beliefs amongst the local population?</w:t>
            </w:r>
          </w:p>
          <w:p w:rsidR="00BC6E9D" w:rsidRDefault="00BC6E9D" w:rsidP="00473740">
            <w:pPr>
              <w:pStyle w:val="ListParagraph"/>
              <w:numPr>
                <w:ilvl w:val="0"/>
                <w:numId w:val="11"/>
              </w:numPr>
            </w:pPr>
            <w:r>
              <w:t>How did the Nazis get to the point of mass extermination without much resistance from the population?</w:t>
            </w:r>
          </w:p>
        </w:tc>
      </w:tr>
    </w:tbl>
    <w:p w:rsidR="00E16FE4" w:rsidRDefault="00E16FE4" w:rsidP="00E16FE4"/>
    <w:p w:rsidR="00BC6E9D" w:rsidRDefault="00BC6E9D" w:rsidP="00E16FE4"/>
    <w:p w:rsidR="00473740" w:rsidRDefault="00473740" w:rsidP="00E16FE4"/>
    <w:p w:rsidR="00473740" w:rsidRDefault="00473740" w:rsidP="00E16FE4"/>
    <w:p w:rsidR="00473740" w:rsidRDefault="00473740" w:rsidP="00E16FE4"/>
    <w:p w:rsidR="00473740" w:rsidRDefault="00473740" w:rsidP="00E16FE4"/>
    <w:p w:rsidR="00473740" w:rsidRDefault="00473740" w:rsidP="00E16FE4"/>
    <w:p w:rsidR="00473740" w:rsidRDefault="00473740" w:rsidP="00E16FE4"/>
    <w:p w:rsidR="00E16FE4" w:rsidRDefault="00E16FE4" w:rsidP="00E16FE4">
      <w:r>
        <w:lastRenderedPageBreak/>
        <w:t xml:space="preserve">Topic: </w:t>
      </w:r>
      <w:r w:rsidR="00BC6E9D">
        <w:t xml:space="preserve">The </w:t>
      </w:r>
      <w:proofErr w:type="gramStart"/>
      <w:r w:rsidR="006141B7">
        <w:t>Holocaust</w:t>
      </w:r>
      <w:r w:rsidR="00473740">
        <w:t xml:space="preserve">  </w:t>
      </w:r>
      <w:r w:rsidR="00473740">
        <w:tab/>
      </w:r>
      <w:proofErr w:type="gramEnd"/>
      <w:r w:rsidR="00473740">
        <w:t xml:space="preserve">Date:  </w:t>
      </w:r>
      <w:r w:rsidR="00B2671F">
        <w:t>3/31/17</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E16FE4" w:rsidTr="002C7F1D">
        <w:tc>
          <w:tcPr>
            <w:tcW w:w="2448" w:type="dxa"/>
            <w:shd w:val="clear" w:color="auto" w:fill="auto"/>
          </w:tcPr>
          <w:p w:rsidR="00E16FE4" w:rsidRPr="007805C3" w:rsidRDefault="00E16FE4" w:rsidP="002C7F1D">
            <w:pPr>
              <w:rPr>
                <w:b/>
              </w:rPr>
            </w:pPr>
            <w:r w:rsidRPr="007805C3">
              <w:rPr>
                <w:b/>
              </w:rPr>
              <w:t>Materials</w:t>
            </w:r>
            <w:r>
              <w:rPr>
                <w:b/>
              </w:rPr>
              <w:t>, Prep</w:t>
            </w:r>
          </w:p>
        </w:tc>
        <w:tc>
          <w:tcPr>
            <w:tcW w:w="8100" w:type="dxa"/>
            <w:shd w:val="clear" w:color="auto" w:fill="auto"/>
          </w:tcPr>
          <w:p w:rsidR="00E16FE4" w:rsidRDefault="00A152FB" w:rsidP="00E16FE4">
            <w:r>
              <w:t>WWII PowerPoint</w:t>
            </w:r>
          </w:p>
        </w:tc>
      </w:tr>
      <w:tr w:rsidR="00E16FE4" w:rsidTr="002C7F1D">
        <w:tc>
          <w:tcPr>
            <w:tcW w:w="2448" w:type="dxa"/>
            <w:shd w:val="clear" w:color="auto" w:fill="auto"/>
          </w:tcPr>
          <w:p w:rsidR="00E16FE4" w:rsidRDefault="00E16FE4" w:rsidP="002C7F1D">
            <w:pPr>
              <w:rPr>
                <w:b/>
              </w:rPr>
            </w:pPr>
            <w:r>
              <w:rPr>
                <w:b/>
              </w:rPr>
              <w:t xml:space="preserve">Procedure </w:t>
            </w:r>
          </w:p>
        </w:tc>
        <w:tc>
          <w:tcPr>
            <w:tcW w:w="8100" w:type="dxa"/>
            <w:shd w:val="clear" w:color="auto" w:fill="auto"/>
          </w:tcPr>
          <w:p w:rsidR="00E16FE4" w:rsidRDefault="003B6CEC" w:rsidP="003B6CEC">
            <w:pPr>
              <w:pStyle w:val="ListParagraph"/>
              <w:numPr>
                <w:ilvl w:val="0"/>
                <w:numId w:val="12"/>
              </w:numPr>
            </w:pPr>
            <w:r>
              <w:t>Small-group discussion: what was the American response to the progressing oppression of Jewish people in Nazi-controlled territory?</w:t>
            </w:r>
          </w:p>
          <w:p w:rsidR="00A152FB" w:rsidRDefault="00A152FB" w:rsidP="003B6CEC">
            <w:pPr>
              <w:pStyle w:val="ListParagraph"/>
              <w:numPr>
                <w:ilvl w:val="0"/>
                <w:numId w:val="12"/>
              </w:numPr>
            </w:pPr>
            <w:r>
              <w:t xml:space="preserve">Explain: By the start of WWII, more than half of the Jewish population of Germany had left, but over 200,000 remained. Many of those who had left went to </w:t>
            </w:r>
            <w:r w:rsidRPr="00F9252A">
              <w:t>places</w:t>
            </w:r>
            <w:r>
              <w:t xml:space="preserve"> like France, the Netherlands, and Poland, which would soon be under Nazi control. During much of the 1930’s, the Nazi government actively encouraged (and in some cases forced) Jewish people to emigrate. </w:t>
            </w:r>
          </w:p>
          <w:p w:rsidR="00BA06D6" w:rsidRDefault="00BA06D6" w:rsidP="003B6CEC">
            <w:pPr>
              <w:pStyle w:val="ListParagraph"/>
              <w:numPr>
                <w:ilvl w:val="0"/>
                <w:numId w:val="12"/>
              </w:numPr>
            </w:pPr>
            <w:r>
              <w:t>Small-group discussion: Why, after the Nazis had made life intolerable, did so many Jewish people remain in Germany?</w:t>
            </w:r>
          </w:p>
          <w:p w:rsidR="00BA06D6" w:rsidRDefault="00BA06D6" w:rsidP="003B6CEC">
            <w:pPr>
              <w:pStyle w:val="ListParagraph"/>
              <w:numPr>
                <w:ilvl w:val="0"/>
                <w:numId w:val="12"/>
              </w:numPr>
            </w:pPr>
            <w:r>
              <w:t>Explain: many countries, like the U.S., made immigration very difficult and did not make things easier even after the refugee crisis emerged</w:t>
            </w:r>
          </w:p>
          <w:p w:rsidR="00BA06D6" w:rsidRDefault="00BA06D6" w:rsidP="00BA06D6">
            <w:pPr>
              <w:pStyle w:val="ListParagraph"/>
              <w:numPr>
                <w:ilvl w:val="0"/>
                <w:numId w:val="12"/>
              </w:numPr>
            </w:pPr>
            <w:r>
              <w:t xml:space="preserve">Explain: in the 1920’s, the U.S. set immigration quotas (recall: what was going on culturally in the U.S. in the 1920’s?): </w:t>
            </w:r>
            <w:hyperlink r:id="rId6" w:history="1">
              <w:r w:rsidRPr="00393FA7">
                <w:rPr>
                  <w:rStyle w:val="Hyperlink"/>
                </w:rPr>
                <w:t>http://historymatters.gmu.edu/d/5078</w:t>
              </w:r>
            </w:hyperlink>
            <w:r>
              <w:t xml:space="preserve"> </w:t>
            </w:r>
          </w:p>
          <w:p w:rsidR="00BA06D6" w:rsidRDefault="00BA06D6" w:rsidP="00BA06D6">
            <w:pPr>
              <w:pStyle w:val="ListParagraph"/>
              <w:numPr>
                <w:ilvl w:val="0"/>
                <w:numId w:val="12"/>
              </w:numPr>
            </w:pPr>
            <w:r>
              <w:t xml:space="preserve">Explain: until the very end of the 1930’s, the quota for Germany went unfilled because of how difficult it was to immigrate: </w:t>
            </w:r>
            <w:hyperlink r:id="rId7" w:history="1">
              <w:r w:rsidRPr="00393FA7">
                <w:rPr>
                  <w:rStyle w:val="Hyperlink"/>
                </w:rPr>
                <w:t>https://www.ushmm.org/wlc/en/article.php?ModuleId=10007456</w:t>
              </w:r>
            </w:hyperlink>
            <w:r>
              <w:t xml:space="preserve"> </w:t>
            </w:r>
          </w:p>
          <w:p w:rsidR="00F9252A" w:rsidRDefault="00F9252A" w:rsidP="00B2671F">
            <w:pPr>
              <w:pStyle w:val="ListParagraph"/>
              <w:numPr>
                <w:ilvl w:val="0"/>
                <w:numId w:val="12"/>
              </w:numPr>
            </w:pPr>
            <w:r>
              <w:t xml:space="preserve">Explain: In May of 1939, the MS </w:t>
            </w:r>
            <w:r>
              <w:rPr>
                <w:i/>
              </w:rPr>
              <w:t>St. Louis</w:t>
            </w:r>
            <w:r>
              <w:t>, a German ship, left Germany with 937 passengers bound for Cuba, most of them Jewish refugees. When they arrived, Cuba refused to accept them. After failing to gain entry into the U.S. and Canada, the ship returned to Germany, where the passengers would get swept up by the outbreak of war and the Holocaust.</w:t>
            </w:r>
          </w:p>
        </w:tc>
      </w:tr>
    </w:tbl>
    <w:p w:rsidR="00E16FE4" w:rsidRDefault="00E16FE4" w:rsidP="00E16FE4"/>
    <w:p w:rsidR="00A152FB" w:rsidRDefault="00A152FB" w:rsidP="00E16FE4"/>
    <w:p w:rsidR="00A152FB" w:rsidRDefault="00A152FB" w:rsidP="00E16FE4"/>
    <w:p w:rsidR="002C4FAC" w:rsidRDefault="002C4FAC"/>
    <w:sectPr w:rsidR="002C4FAC" w:rsidSect="00BC6E9D">
      <w:pgSz w:w="12240" w:h="15840" w:code="1"/>
      <w:pgMar w:top="900" w:right="126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D6F3A"/>
    <w:multiLevelType w:val="hybridMultilevel"/>
    <w:tmpl w:val="B7E67F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D71A16"/>
    <w:multiLevelType w:val="hybridMultilevel"/>
    <w:tmpl w:val="D6A062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CA7FF7"/>
    <w:multiLevelType w:val="hybridMultilevel"/>
    <w:tmpl w:val="039E07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8A3AE5"/>
    <w:multiLevelType w:val="hybridMultilevel"/>
    <w:tmpl w:val="61CEA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F215A"/>
    <w:multiLevelType w:val="hybridMultilevel"/>
    <w:tmpl w:val="4C68B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221D7"/>
    <w:multiLevelType w:val="hybridMultilevel"/>
    <w:tmpl w:val="D9343B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1B41A12"/>
    <w:multiLevelType w:val="hybridMultilevel"/>
    <w:tmpl w:val="A7AC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743446"/>
    <w:multiLevelType w:val="hybridMultilevel"/>
    <w:tmpl w:val="27D8FA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402682"/>
    <w:multiLevelType w:val="hybridMultilevel"/>
    <w:tmpl w:val="1220BA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1E7694"/>
    <w:multiLevelType w:val="hybridMultilevel"/>
    <w:tmpl w:val="AD6C74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D2008D3"/>
    <w:multiLevelType w:val="hybridMultilevel"/>
    <w:tmpl w:val="E2C07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E84626E"/>
    <w:multiLevelType w:val="hybridMultilevel"/>
    <w:tmpl w:val="B86ED1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9"/>
  </w:num>
  <w:num w:numId="4">
    <w:abstractNumId w:val="6"/>
  </w:num>
  <w:num w:numId="5">
    <w:abstractNumId w:val="7"/>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2"/>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FE4"/>
    <w:rsid w:val="000D3440"/>
    <w:rsid w:val="001A38C1"/>
    <w:rsid w:val="002249E1"/>
    <w:rsid w:val="002C4FAC"/>
    <w:rsid w:val="002C7F1D"/>
    <w:rsid w:val="003B6CEC"/>
    <w:rsid w:val="00473740"/>
    <w:rsid w:val="006141B7"/>
    <w:rsid w:val="006B1525"/>
    <w:rsid w:val="00A152FB"/>
    <w:rsid w:val="00B2671F"/>
    <w:rsid w:val="00BA06D6"/>
    <w:rsid w:val="00BC6E9D"/>
    <w:rsid w:val="00BD40C4"/>
    <w:rsid w:val="00E16FE4"/>
    <w:rsid w:val="00F92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C841B"/>
  <w15:docId w15:val="{A0178315-747B-4C1E-A098-4C97AA98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FE4"/>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FE4"/>
    <w:pPr>
      <w:ind w:left="720"/>
      <w:contextualSpacing/>
    </w:pPr>
  </w:style>
  <w:style w:type="character" w:styleId="Hyperlink">
    <w:name w:val="Hyperlink"/>
    <w:uiPriority w:val="99"/>
    <w:unhideWhenUsed/>
    <w:rsid w:val="00E16FE4"/>
    <w:rPr>
      <w:color w:val="0000FF"/>
      <w:u w:val="single"/>
    </w:rPr>
  </w:style>
  <w:style w:type="character" w:styleId="FollowedHyperlink">
    <w:name w:val="FollowedHyperlink"/>
    <w:basedOn w:val="DefaultParagraphFont"/>
    <w:uiPriority w:val="99"/>
    <w:semiHidden/>
    <w:unhideWhenUsed/>
    <w:rsid w:val="002249E1"/>
    <w:rPr>
      <w:color w:val="800080" w:themeColor="followedHyperlink"/>
      <w:u w:val="single"/>
    </w:rPr>
  </w:style>
  <w:style w:type="paragraph" w:styleId="BalloonText">
    <w:name w:val="Balloon Text"/>
    <w:basedOn w:val="Normal"/>
    <w:link w:val="BalloonTextChar"/>
    <w:uiPriority w:val="99"/>
    <w:semiHidden/>
    <w:unhideWhenUsed/>
    <w:rsid w:val="00B267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7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66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hmm.org/wlc/en/article.php?ModuleId=100074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storymatters.gmu.edu/d/5078" TargetMode="External"/><Relationship Id="rId5" Type="http://schemas.openxmlformats.org/officeDocument/2006/relationships/hyperlink" Target="https://sheg.stanford.edu/us-entry-ww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Ben Laarman</cp:lastModifiedBy>
  <cp:revision>2</cp:revision>
  <cp:lastPrinted>2017-03-27T08:15:00Z</cp:lastPrinted>
  <dcterms:created xsi:type="dcterms:W3CDTF">2017-03-27T08:20:00Z</dcterms:created>
  <dcterms:modified xsi:type="dcterms:W3CDTF">2017-03-27T08:20:00Z</dcterms:modified>
</cp:coreProperties>
</file>